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4" w:rsidRDefault="00896264" w:rsidP="00896264">
      <w:pPr>
        <w:pStyle w:val="Prrafodelista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  <w:bookmarkStart w:id="0" w:name="_Anexo_XI._Modelo"/>
      <w:bookmarkStart w:id="1" w:name="_Anexo_XII._Modelo"/>
      <w:bookmarkEnd w:id="0"/>
      <w:bookmarkEnd w:id="1"/>
      <w:r w:rsidRPr="00896264">
        <w:rPr>
          <w:rFonts w:asciiTheme="minorHAnsi" w:hAnsiTheme="minorHAnsi" w:cstheme="minorHAnsi"/>
          <w:b/>
          <w:caps/>
          <w:color w:val="FF0000"/>
          <w:sz w:val="28"/>
        </w:rPr>
        <w:t>Anexo XII. Modelo de ficha de seguimiento</w:t>
      </w:r>
    </w:p>
    <w:p w:rsidR="00896264" w:rsidRPr="00896264" w:rsidRDefault="00896264" w:rsidP="00896264">
      <w:pPr>
        <w:pStyle w:val="Prrafodelista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</w:p>
    <w:tbl>
      <w:tblPr>
        <w:tblStyle w:val="Tabladecuadrcula5oscura-nfasis11"/>
        <w:tblW w:w="5004" w:type="pct"/>
        <w:tblLook w:val="04A0"/>
      </w:tblPr>
      <w:tblGrid>
        <w:gridCol w:w="3556"/>
        <w:gridCol w:w="2615"/>
        <w:gridCol w:w="2350"/>
        <w:gridCol w:w="267"/>
        <w:gridCol w:w="1903"/>
      </w:tblGrid>
      <w:tr w:rsidR="00896264" w:rsidRPr="00E55C65" w:rsidTr="00896264">
        <w:trPr>
          <w:cnfStyle w:val="100000000000"/>
          <w:trHeight w:val="631"/>
        </w:trPr>
        <w:tc>
          <w:tcPr>
            <w:cnfStyle w:val="001000000000"/>
            <w:tcW w:w="5000" w:type="pct"/>
            <w:gridSpan w:val="5"/>
            <w:shd w:val="clear" w:color="auto" w:fill="548DD4" w:themeFill="text2" w:themeFillTint="99"/>
            <w:vAlign w:val="center"/>
          </w:tcPr>
          <w:p w:rsidR="00896264" w:rsidRPr="00896264" w:rsidRDefault="00896264" w:rsidP="00BD7552">
            <w:pPr>
              <w:rPr>
                <w:color w:val="auto"/>
                <w:sz w:val="18"/>
                <w:szCs w:val="18"/>
              </w:rPr>
            </w:pPr>
            <w:r w:rsidRPr="00896264">
              <w:rPr>
                <w:color w:val="auto"/>
                <w:sz w:val="24"/>
                <w:szCs w:val="18"/>
              </w:rPr>
              <w:t>FICHA DE SEGUIMIENTO DE MEDIDAS</w:t>
            </w:r>
          </w:p>
        </w:tc>
      </w:tr>
      <w:tr w:rsidR="00896264" w:rsidRPr="00E55C65" w:rsidTr="00896264">
        <w:trPr>
          <w:cnfStyle w:val="000000100000"/>
          <w:trHeight w:val="426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  <w:hideMark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Medida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  <w:hideMark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E55C65">
              <w:rPr>
                <w:sz w:val="18"/>
                <w:szCs w:val="18"/>
              </w:rPr>
              <w:t>(Especificar)</w:t>
            </w:r>
          </w:p>
        </w:tc>
      </w:tr>
      <w:tr w:rsidR="00896264" w:rsidRPr="00E55C65" w:rsidTr="00896264">
        <w:trPr>
          <w:trHeight w:val="467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Persona/Departamento responsable</w:t>
            </w:r>
          </w:p>
        </w:tc>
        <w:tc>
          <w:tcPr>
            <w:tcW w:w="3337" w:type="pct"/>
            <w:gridSpan w:val="4"/>
            <w:shd w:val="clear" w:color="auto" w:fill="E5DFEC" w:themeFill="accent4" w:themeFillTint="33"/>
            <w:vAlign w:val="center"/>
            <w:hideMark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411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Fecha implantación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trHeight w:val="418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Fecha de seguimiento</w:t>
            </w:r>
          </w:p>
        </w:tc>
        <w:tc>
          <w:tcPr>
            <w:tcW w:w="3337" w:type="pct"/>
            <w:gridSpan w:val="4"/>
            <w:shd w:val="clear" w:color="auto" w:fill="E5DFEC" w:themeFill="accent4" w:themeFillTint="33"/>
            <w:vAlign w:val="center"/>
            <w:hideMark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424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Cumplimentado por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trHeight w:val="424"/>
        </w:trPr>
        <w:tc>
          <w:tcPr>
            <w:cnfStyle w:val="001000000000"/>
            <w:tcW w:w="5000" w:type="pct"/>
            <w:gridSpan w:val="5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Indicadores de seguimiento</w:t>
            </w:r>
          </w:p>
        </w:tc>
      </w:tr>
      <w:tr w:rsidR="00896264" w:rsidRPr="00E55C65" w:rsidTr="00896264">
        <w:trPr>
          <w:cnfStyle w:val="000000100000"/>
          <w:trHeight w:val="424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pStyle w:val="Prrafodelista"/>
              <w:ind w:left="0"/>
              <w:contextualSpacing w:val="0"/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 xml:space="preserve">[Trasladar todos los indicadores incluidos en la ficha de medidas </w:t>
            </w:r>
            <w:r w:rsidRPr="00896264">
              <w:rPr>
                <w:b w:val="0"/>
                <w:bCs w:val="0"/>
                <w:color w:val="auto"/>
                <w:szCs w:val="14"/>
              </w:rPr>
              <w:t>(Anexo VIII de la Fase 3)]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trHeight w:val="382"/>
        </w:trPr>
        <w:tc>
          <w:tcPr>
            <w:cnfStyle w:val="001000000000"/>
            <w:tcW w:w="5000" w:type="pct"/>
            <w:gridSpan w:val="5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Indicadores de resultado</w:t>
            </w:r>
          </w:p>
        </w:tc>
      </w:tr>
      <w:tr w:rsidR="00896264" w:rsidRPr="00E55C65" w:rsidTr="00896264">
        <w:trPr>
          <w:cnfStyle w:val="000000100000"/>
          <w:trHeight w:val="546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Nivel de ejecución</w:t>
            </w:r>
          </w:p>
        </w:tc>
        <w:tc>
          <w:tcPr>
            <w:tcW w:w="1223" w:type="pct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E55C65">
              <w:rPr>
                <w:rFonts w:ascii="Webdings" w:eastAsia="Webdings" w:hAnsi="Webdings" w:cs="Webdings"/>
                <w:b/>
                <w:color w:val="943634" w:themeColor="accent2" w:themeShade="BF"/>
                <w:sz w:val="18"/>
                <w:szCs w:val="18"/>
              </w:rPr>
              <w:t></w:t>
            </w:r>
            <w:r w:rsidRPr="00E55C65">
              <w:rPr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55C65">
              <w:rPr>
                <w:sz w:val="18"/>
                <w:szCs w:val="18"/>
              </w:rPr>
              <w:t>Pendiente</w:t>
            </w:r>
          </w:p>
        </w:tc>
        <w:tc>
          <w:tcPr>
            <w:tcW w:w="1224" w:type="pct"/>
            <w:gridSpan w:val="2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E55C65">
              <w:rPr>
                <w:rFonts w:ascii="Webdings" w:eastAsia="Webdings" w:hAnsi="Webdings" w:cs="Webdings"/>
                <w:b/>
                <w:color w:val="943634" w:themeColor="accent2" w:themeShade="BF"/>
                <w:sz w:val="18"/>
                <w:szCs w:val="18"/>
              </w:rPr>
              <w:t></w:t>
            </w:r>
            <w:r w:rsidRPr="00E55C65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E55C65">
              <w:rPr>
                <w:sz w:val="18"/>
                <w:szCs w:val="18"/>
              </w:rPr>
              <w:t>En ejecución</w:t>
            </w:r>
          </w:p>
        </w:tc>
        <w:tc>
          <w:tcPr>
            <w:tcW w:w="890" w:type="pct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E55C65">
              <w:rPr>
                <w:rFonts w:ascii="Webdings" w:eastAsia="Webdings" w:hAnsi="Webdings" w:cs="Webdings"/>
                <w:b/>
                <w:color w:val="943634" w:themeColor="accent2" w:themeShade="BF"/>
                <w:sz w:val="18"/>
                <w:szCs w:val="18"/>
              </w:rPr>
              <w:t></w:t>
            </w:r>
            <w:r w:rsidRPr="00E55C65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E55C65">
              <w:rPr>
                <w:sz w:val="18"/>
                <w:szCs w:val="18"/>
              </w:rPr>
              <w:t>Finalizada</w:t>
            </w:r>
          </w:p>
        </w:tc>
      </w:tr>
      <w:tr w:rsidR="00896264" w:rsidRPr="00E55C65" w:rsidTr="00896264">
        <w:trPr>
          <w:trHeight w:val="248"/>
        </w:trPr>
        <w:tc>
          <w:tcPr>
            <w:cnfStyle w:val="001000000000"/>
            <w:tcW w:w="1663" w:type="pct"/>
            <w:vMerge w:val="restar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rFonts w:cstheme="minorHAnsi"/>
                <w:b w:val="0"/>
                <w:bCs w:val="0"/>
                <w:color w:val="auto"/>
                <w:kern w:val="24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Indicar el motivo por el que la medida no se ha iniciado o completado totalmente</w:t>
            </w: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E55C65">
              <w:rPr>
                <w:sz w:val="18"/>
                <w:szCs w:val="18"/>
              </w:rPr>
              <w:t>Falta de recursos humanos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000000"/>
              <w:rPr>
                <w:b/>
                <w:bCs/>
                <w:noProof/>
                <w:color w:val="7BA0CD" w:themeColor="accent1" w:themeTint="BF"/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cnfStyle w:val="000000100000"/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>Falta de recursos materiales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 xml:space="preserve">Falta de tiempo 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cnfStyle w:val="000000100000"/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>Falta de participación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 xml:space="preserve">Descoordinación con otros departamentos 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cnfStyle w:val="000000100000"/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>Desconocimiento del desarrollo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trHeight w:val="248"/>
        </w:trPr>
        <w:tc>
          <w:tcPr>
            <w:cnfStyle w:val="001000000000"/>
            <w:tcW w:w="1663" w:type="pct"/>
            <w:vMerge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</w:p>
        </w:tc>
        <w:tc>
          <w:tcPr>
            <w:tcW w:w="2322" w:type="pct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DD7E7F">
              <w:rPr>
                <w:sz w:val="18"/>
                <w:szCs w:val="18"/>
              </w:rPr>
              <w:t>Otros motivos (especificar)</w:t>
            </w:r>
          </w:p>
        </w:tc>
        <w:tc>
          <w:tcPr>
            <w:tcW w:w="1016" w:type="pct"/>
            <w:gridSpan w:val="2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  <w:r w:rsidRPr="00E55C65">
              <w:rPr>
                <w:rFonts w:ascii="Wingdings" w:eastAsia="Wingdings" w:hAnsi="Wingdings" w:cs="Wingdings"/>
                <w:b/>
                <w:bCs/>
                <w:noProof/>
                <w:color w:val="7BA0CD" w:themeColor="accent1" w:themeTint="BF"/>
                <w:sz w:val="18"/>
                <w:szCs w:val="18"/>
              </w:rPr>
              <w:t></w:t>
            </w:r>
          </w:p>
        </w:tc>
      </w:tr>
      <w:tr w:rsidR="00896264" w:rsidRPr="00E55C65" w:rsidTr="00896264">
        <w:trPr>
          <w:cnfStyle w:val="000000100000"/>
          <w:trHeight w:val="382"/>
        </w:trPr>
        <w:tc>
          <w:tcPr>
            <w:cnfStyle w:val="001000000000"/>
            <w:tcW w:w="5000" w:type="pct"/>
            <w:gridSpan w:val="5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Indicadores de proceso</w:t>
            </w:r>
          </w:p>
        </w:tc>
      </w:tr>
      <w:tr w:rsidR="00896264" w:rsidRPr="00E55C65" w:rsidTr="00896264">
        <w:trPr>
          <w:trHeight w:val="412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Adecuación de los recursos asignados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553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Dificultades y barreras encontradas para la implantación</w:t>
            </w:r>
          </w:p>
        </w:tc>
        <w:tc>
          <w:tcPr>
            <w:tcW w:w="3337" w:type="pct"/>
            <w:gridSpan w:val="4"/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trHeight w:val="553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Soluciones adoptadas (en su caso)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432"/>
        </w:trPr>
        <w:tc>
          <w:tcPr>
            <w:cnfStyle w:val="001000000000"/>
            <w:tcW w:w="5000" w:type="pct"/>
            <w:gridSpan w:val="5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color w:val="auto"/>
                <w:szCs w:val="18"/>
              </w:rPr>
            </w:pPr>
            <w:r w:rsidRPr="00896264">
              <w:rPr>
                <w:color w:val="auto"/>
                <w:szCs w:val="18"/>
              </w:rPr>
              <w:t>Indicadores de impacto</w:t>
            </w:r>
          </w:p>
        </w:tc>
      </w:tr>
      <w:tr w:rsidR="00896264" w:rsidRPr="00E55C65" w:rsidTr="00896264">
        <w:trPr>
          <w:trHeight w:val="703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Reducción de desigualdades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428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Mejoras producidas</w:t>
            </w:r>
          </w:p>
        </w:tc>
        <w:tc>
          <w:tcPr>
            <w:tcW w:w="3337" w:type="pct"/>
            <w:gridSpan w:val="4"/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trHeight w:val="665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Propuestas de futuro</w:t>
            </w:r>
          </w:p>
        </w:tc>
        <w:tc>
          <w:tcPr>
            <w:tcW w:w="3337" w:type="pct"/>
            <w:gridSpan w:val="4"/>
            <w:shd w:val="clear" w:color="auto" w:fill="CCC0D9" w:themeFill="accent4" w:themeFillTint="66"/>
            <w:vAlign w:val="center"/>
          </w:tcPr>
          <w:p w:rsidR="00896264" w:rsidRPr="00E55C65" w:rsidRDefault="00896264" w:rsidP="00BD7552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96264" w:rsidRPr="00E55C65" w:rsidTr="00896264">
        <w:trPr>
          <w:cnfStyle w:val="000000100000"/>
          <w:trHeight w:val="709"/>
        </w:trPr>
        <w:tc>
          <w:tcPr>
            <w:cnfStyle w:val="001000000000"/>
            <w:tcW w:w="1663" w:type="pct"/>
            <w:shd w:val="clear" w:color="auto" w:fill="8DB3E2" w:themeFill="text2" w:themeFillTint="66"/>
            <w:vAlign w:val="center"/>
          </w:tcPr>
          <w:p w:rsidR="00896264" w:rsidRPr="00896264" w:rsidRDefault="00896264" w:rsidP="00BD7552">
            <w:pPr>
              <w:rPr>
                <w:b w:val="0"/>
                <w:bCs w:val="0"/>
                <w:color w:val="auto"/>
                <w:szCs w:val="18"/>
              </w:rPr>
            </w:pPr>
            <w:r w:rsidRPr="00896264">
              <w:rPr>
                <w:b w:val="0"/>
                <w:bCs w:val="0"/>
                <w:color w:val="auto"/>
                <w:szCs w:val="18"/>
              </w:rPr>
              <w:t>Documentación acreditativa de la ejecución de la medida</w:t>
            </w:r>
          </w:p>
        </w:tc>
        <w:tc>
          <w:tcPr>
            <w:tcW w:w="3337" w:type="pct"/>
            <w:gridSpan w:val="4"/>
            <w:shd w:val="clear" w:color="auto" w:fill="E5DFEC" w:themeFill="accent4" w:themeFillTint="33"/>
            <w:vAlign w:val="center"/>
          </w:tcPr>
          <w:p w:rsidR="00896264" w:rsidRPr="00E55C65" w:rsidRDefault="00896264" w:rsidP="00BD7552">
            <w:pPr>
              <w:cnfStyle w:val="000000100000"/>
              <w:rPr>
                <w:sz w:val="18"/>
                <w:szCs w:val="18"/>
              </w:rPr>
            </w:pPr>
          </w:p>
        </w:tc>
      </w:tr>
    </w:tbl>
    <w:p w:rsidR="00896264" w:rsidRDefault="00896264" w:rsidP="00896264">
      <w:pPr>
        <w:spacing w:after="120"/>
        <w:rPr>
          <w:rFonts w:asciiTheme="minorHAnsi" w:eastAsiaTheme="minorHAnsi" w:hAnsiTheme="minorHAnsi" w:cstheme="minorBidi"/>
        </w:rPr>
      </w:pPr>
    </w:p>
    <w:p w:rsidR="00243A37" w:rsidRDefault="00896264"/>
    <w:sectPr w:rsidR="00243A37" w:rsidSect="0089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264"/>
    <w:rsid w:val="000C3DF1"/>
    <w:rsid w:val="00686725"/>
    <w:rsid w:val="00896264"/>
    <w:rsid w:val="00C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64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6264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6264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896264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896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2</cp:revision>
  <dcterms:created xsi:type="dcterms:W3CDTF">2021-03-07T20:09:00Z</dcterms:created>
  <dcterms:modified xsi:type="dcterms:W3CDTF">2021-03-07T20:11:00Z</dcterms:modified>
</cp:coreProperties>
</file>